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CE" w:rsidRDefault="003126CE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126CE" w:rsidRDefault="003126CE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126CE" w:rsidRDefault="003126CE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126CE" w:rsidRDefault="003126CE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3126CE" w:rsidRDefault="003126CE" w:rsidP="00C91320">
      <w:pPr>
        <w:rPr>
          <w:sz w:val="26"/>
          <w:szCs w:val="26"/>
        </w:rPr>
      </w:pPr>
    </w:p>
    <w:p w:rsidR="003126CE" w:rsidRDefault="003126CE" w:rsidP="00FF50F1">
      <w:pPr>
        <w:jc w:val="center"/>
        <w:rPr>
          <w:sz w:val="26"/>
          <w:szCs w:val="26"/>
        </w:rPr>
      </w:pPr>
    </w:p>
    <w:p w:rsidR="003126CE" w:rsidRDefault="003126CE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126CE" w:rsidRDefault="003126CE" w:rsidP="00FF50F1">
      <w:pPr>
        <w:jc w:val="center"/>
        <w:rPr>
          <w:sz w:val="26"/>
          <w:szCs w:val="26"/>
        </w:rPr>
      </w:pPr>
    </w:p>
    <w:p w:rsidR="003126CE" w:rsidRDefault="00E02D2C" w:rsidP="00B71FEF">
      <w:pPr>
        <w:ind w:left="-180"/>
        <w:rPr>
          <w:sz w:val="26"/>
          <w:szCs w:val="26"/>
        </w:rPr>
      </w:pPr>
      <w:r>
        <w:rPr>
          <w:sz w:val="26"/>
          <w:szCs w:val="26"/>
        </w:rPr>
        <w:t>30.12</w:t>
      </w:r>
      <w:r w:rsidR="00E27C5B">
        <w:rPr>
          <w:sz w:val="26"/>
          <w:szCs w:val="26"/>
        </w:rPr>
        <w:t>.2020</w:t>
      </w:r>
      <w:r w:rsidR="003126CE">
        <w:rPr>
          <w:sz w:val="26"/>
          <w:szCs w:val="26"/>
        </w:rPr>
        <w:t xml:space="preserve">г.                                            с. Арбаты                                                   № </w:t>
      </w:r>
      <w:r>
        <w:rPr>
          <w:sz w:val="26"/>
          <w:szCs w:val="26"/>
        </w:rPr>
        <w:t>99</w:t>
      </w:r>
    </w:p>
    <w:p w:rsidR="003126CE" w:rsidRDefault="003126CE" w:rsidP="00FF50F1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56"/>
        <w:gridCol w:w="5414"/>
      </w:tblGrid>
      <w:tr w:rsidR="003126CE" w:rsidRPr="00623D75" w:rsidTr="00F05216">
        <w:tc>
          <w:tcPr>
            <w:tcW w:w="4248" w:type="dxa"/>
          </w:tcPr>
          <w:p w:rsidR="003126CE" w:rsidRPr="00623D75" w:rsidRDefault="003126CE" w:rsidP="00E27C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принятии плана мероприятий по росту доходов «План мероприятий по росту доходов,  оптимизации расходов бюджета Арбатского сельсовета  на 20</w:t>
            </w:r>
            <w:r w:rsidR="00E27C5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-</w:t>
            </w:r>
            <w:r w:rsidR="00E27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E27C5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годы» </w:t>
            </w:r>
          </w:p>
        </w:tc>
        <w:tc>
          <w:tcPr>
            <w:tcW w:w="5606" w:type="dxa"/>
          </w:tcPr>
          <w:p w:rsidR="003126CE" w:rsidRPr="00623D75" w:rsidRDefault="003126CE" w:rsidP="00F05216">
            <w:pPr>
              <w:rPr>
                <w:sz w:val="26"/>
                <w:szCs w:val="26"/>
              </w:rPr>
            </w:pPr>
          </w:p>
        </w:tc>
      </w:tr>
    </w:tbl>
    <w:p w:rsidR="003126CE" w:rsidRDefault="003126CE" w:rsidP="00FF50F1">
      <w:pPr>
        <w:rPr>
          <w:sz w:val="26"/>
          <w:szCs w:val="26"/>
        </w:rPr>
      </w:pPr>
    </w:p>
    <w:p w:rsidR="003126CE" w:rsidRDefault="003126CE" w:rsidP="00FF50F1">
      <w:pPr>
        <w:rPr>
          <w:sz w:val="26"/>
          <w:szCs w:val="26"/>
        </w:rPr>
      </w:pPr>
    </w:p>
    <w:p w:rsidR="003126CE" w:rsidRDefault="003126CE" w:rsidP="000E68FC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принятия мер по сбалансированности местного бюджета Арбатского сельсовета Таштыпского района Республики Хакасия, руководствуясь, ст. 44</w:t>
      </w:r>
      <w:r w:rsidRPr="00990C75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20.01.2006г., Администрация Арбатского сельсовета постановляет:</w:t>
      </w:r>
    </w:p>
    <w:p w:rsidR="003126CE" w:rsidRDefault="003126CE" w:rsidP="00681D5F">
      <w:pPr>
        <w:ind w:firstLine="567"/>
        <w:jc w:val="both"/>
        <w:rPr>
          <w:sz w:val="26"/>
          <w:szCs w:val="26"/>
        </w:rPr>
      </w:pPr>
      <w:r w:rsidRPr="00044C7A">
        <w:rPr>
          <w:sz w:val="26"/>
          <w:szCs w:val="26"/>
        </w:rPr>
        <w:t xml:space="preserve"> 1.</w:t>
      </w:r>
      <w:r w:rsidRPr="00044C7A">
        <w:rPr>
          <w:sz w:val="26"/>
          <w:szCs w:val="26"/>
          <w:lang w:eastAsia="en-US"/>
        </w:rPr>
        <w:t xml:space="preserve">Утвердить </w:t>
      </w:r>
      <w:r>
        <w:rPr>
          <w:sz w:val="26"/>
          <w:szCs w:val="26"/>
        </w:rPr>
        <w:t xml:space="preserve">План мероприятий по росту доходов,  оптимизации расходов бюджета Арбатского сельсовета  на </w:t>
      </w:r>
      <w:r w:rsidR="00E27C5B">
        <w:rPr>
          <w:sz w:val="26"/>
          <w:szCs w:val="26"/>
        </w:rPr>
        <w:t>2021 – 2023 годы</w:t>
      </w:r>
      <w:r>
        <w:rPr>
          <w:sz w:val="26"/>
          <w:szCs w:val="26"/>
        </w:rPr>
        <w:t>».</w:t>
      </w:r>
    </w:p>
    <w:p w:rsidR="003126CE" w:rsidRDefault="003126CE" w:rsidP="00681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 Отме</w:t>
      </w:r>
      <w:r w:rsidR="00F5683E">
        <w:rPr>
          <w:sz w:val="26"/>
          <w:szCs w:val="26"/>
          <w:lang w:eastAsia="en-US"/>
        </w:rPr>
        <w:t>нить постановление от 08.06.2017</w:t>
      </w:r>
      <w:r>
        <w:rPr>
          <w:sz w:val="26"/>
          <w:szCs w:val="26"/>
          <w:lang w:eastAsia="en-US"/>
        </w:rPr>
        <w:t>г. №</w:t>
      </w:r>
      <w:r w:rsidR="00D6195C">
        <w:rPr>
          <w:sz w:val="26"/>
          <w:szCs w:val="26"/>
          <w:lang w:eastAsia="en-US"/>
        </w:rPr>
        <w:t>34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«План мероприятий по росту доходов,  оптимизации расходов бюджета Арбатского сельсовета  на 20</w:t>
      </w:r>
      <w:r w:rsidR="00874D76">
        <w:rPr>
          <w:sz w:val="26"/>
          <w:szCs w:val="26"/>
        </w:rPr>
        <w:t>17</w:t>
      </w:r>
      <w:r>
        <w:rPr>
          <w:sz w:val="26"/>
          <w:szCs w:val="26"/>
        </w:rPr>
        <w:t xml:space="preserve"> год и плановый период 2</w:t>
      </w:r>
      <w:r w:rsidR="00874D76">
        <w:rPr>
          <w:sz w:val="26"/>
          <w:szCs w:val="26"/>
        </w:rPr>
        <w:t xml:space="preserve">018 </w:t>
      </w:r>
      <w:r>
        <w:rPr>
          <w:sz w:val="26"/>
          <w:szCs w:val="26"/>
        </w:rPr>
        <w:t>и 20</w:t>
      </w:r>
      <w:r w:rsidR="00874D76">
        <w:rPr>
          <w:sz w:val="26"/>
          <w:szCs w:val="26"/>
        </w:rPr>
        <w:t>19</w:t>
      </w:r>
      <w:r>
        <w:rPr>
          <w:sz w:val="26"/>
          <w:szCs w:val="26"/>
        </w:rPr>
        <w:t xml:space="preserve"> годов».</w:t>
      </w:r>
    </w:p>
    <w:p w:rsidR="003126CE" w:rsidRDefault="003126CE" w:rsidP="00681D5F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 Администрации Арбатского сельсовета обеспечить выполнение Плана мероприятий в установленные сроки, информацию по исполнению мероприятий Плана представлять ежеквартально в Управление финансов Администрации Таштыпского района</w:t>
      </w:r>
    </w:p>
    <w:p w:rsidR="003126CE" w:rsidRDefault="003126CE" w:rsidP="006E09A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</w:t>
      </w:r>
      <w:r w:rsidRPr="00044C7A">
        <w:rPr>
          <w:sz w:val="26"/>
          <w:szCs w:val="26"/>
          <w:lang w:eastAsia="en-US"/>
        </w:rPr>
        <w:t xml:space="preserve">. </w:t>
      </w:r>
      <w:proofErr w:type="gramStart"/>
      <w:r w:rsidRPr="00044C7A">
        <w:rPr>
          <w:sz w:val="26"/>
          <w:szCs w:val="26"/>
          <w:lang w:eastAsia="en-US"/>
        </w:rPr>
        <w:t>Контроль за</w:t>
      </w:r>
      <w:proofErr w:type="gramEnd"/>
      <w:r w:rsidRPr="00044C7A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3126CE" w:rsidRDefault="003126CE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126CE" w:rsidRPr="00044C7A" w:rsidRDefault="003126CE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126CE" w:rsidRDefault="003126CE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126CE" w:rsidRDefault="003126CE" w:rsidP="00B21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          </w:t>
      </w:r>
      <w:proofErr w:type="spellStart"/>
      <w:r w:rsidR="00874D76">
        <w:rPr>
          <w:sz w:val="26"/>
          <w:szCs w:val="26"/>
        </w:rPr>
        <w:t>С.Н.Чебодаев</w:t>
      </w:r>
      <w:proofErr w:type="spellEnd"/>
    </w:p>
    <w:p w:rsidR="003126CE" w:rsidRDefault="003126CE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3126CE" w:rsidSect="00B21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6CE" w:rsidRDefault="00D6195C" w:rsidP="00D6195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3126CE">
        <w:rPr>
          <w:sz w:val="26"/>
          <w:szCs w:val="26"/>
        </w:rPr>
        <w:t>Приложение №1</w:t>
      </w:r>
    </w:p>
    <w:tbl>
      <w:tblPr>
        <w:tblW w:w="14190" w:type="dxa"/>
        <w:tblInd w:w="93" w:type="dxa"/>
        <w:tblLayout w:type="fixed"/>
        <w:tblLook w:val="0000"/>
      </w:tblPr>
      <w:tblGrid>
        <w:gridCol w:w="555"/>
        <w:gridCol w:w="6264"/>
        <w:gridCol w:w="2410"/>
        <w:gridCol w:w="1134"/>
        <w:gridCol w:w="742"/>
        <w:gridCol w:w="392"/>
        <w:gridCol w:w="928"/>
        <w:gridCol w:w="206"/>
        <w:gridCol w:w="1559"/>
      </w:tblGrid>
      <w:tr w:rsidR="00D6195C" w:rsidRPr="00A97397" w:rsidTr="00D6195C">
        <w:trPr>
          <w:gridAfter w:val="2"/>
          <w:wAfter w:w="1765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</w:tr>
      <w:tr w:rsidR="00D6195C" w:rsidRPr="00A97397" w:rsidTr="00D6195C">
        <w:trPr>
          <w:gridAfter w:val="2"/>
          <w:wAfter w:w="1765" w:type="dxa"/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95C" w:rsidRPr="00A97397" w:rsidRDefault="00D6195C" w:rsidP="00B215FA">
            <w:pPr>
              <w:rPr>
                <w:color w:val="000000"/>
              </w:rPr>
            </w:pPr>
          </w:p>
        </w:tc>
      </w:tr>
      <w:tr w:rsidR="00D6195C" w:rsidRPr="00D43013" w:rsidTr="00D6195C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5C" w:rsidRPr="00D43013" w:rsidRDefault="00D6195C" w:rsidP="004C0B14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301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4301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4301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  <w:sz w:val="22"/>
                <w:szCs w:val="22"/>
              </w:rPr>
            </w:pPr>
            <w:r w:rsidRPr="00D4301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5C" w:rsidRPr="00D43013" w:rsidRDefault="00D6195C" w:rsidP="004C0B14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5C" w:rsidRPr="00D43013" w:rsidRDefault="00D6195C" w:rsidP="004C0B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D4301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95C" w:rsidRPr="00D43013" w:rsidRDefault="00D6195C" w:rsidP="004C0B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D4301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5C" w:rsidRPr="00D43013" w:rsidRDefault="00D6195C" w:rsidP="004C0B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Pr="00D4301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95C" w:rsidRPr="00D43013" w:rsidRDefault="00D6195C" w:rsidP="004C0B14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6195C" w:rsidRPr="00D43013" w:rsidTr="00D6195C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D6195C" w:rsidP="00A973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0E68FC">
            <w:pPr>
              <w:jc w:val="center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7</w:t>
            </w:r>
          </w:p>
        </w:tc>
      </w:tr>
      <w:tr w:rsidR="00D6195C" w:rsidRPr="00D43013" w:rsidTr="00D6195C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Мероприятия по росту доходов бюджета Арбатского сельсовета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 </w:t>
            </w:r>
            <w:r w:rsidR="00874D76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874D76" w:rsidP="000650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874D76" w:rsidP="000650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874D76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 </w:t>
            </w:r>
            <w:r w:rsidR="00874D76">
              <w:rPr>
                <w:color w:val="000000"/>
                <w:sz w:val="22"/>
                <w:szCs w:val="22"/>
              </w:rPr>
              <w:t>364,8</w:t>
            </w:r>
          </w:p>
        </w:tc>
      </w:tr>
      <w:tr w:rsidR="00D6195C" w:rsidRPr="00D43013" w:rsidTr="00D6195C">
        <w:trPr>
          <w:trHeight w:val="3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E68FC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Оптимизация налоговых ставок и льгот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E68F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0E68F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</w:tc>
      </w:tr>
      <w:tr w:rsidR="00D6195C" w:rsidRPr="00D43013" w:rsidTr="00D6195C">
        <w:trPr>
          <w:trHeight w:val="17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0E68FC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E68FC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Проведение оценки эффективности предоставляемых льгот и установленных ставок по налогам в целях отмены неэффективных и невостребованных льгот, а также анализ установленных налоговых ставок по местным налогам в целях пересмотра ставок, не влияющих на стимулирование предпринимательской активности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E68FC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Увеличение  поступлений доходов от уплаты налога:</w:t>
            </w:r>
          </w:p>
          <w:p w:rsidR="00D6195C" w:rsidRPr="00D43013" w:rsidRDefault="00D6195C" w:rsidP="000E68FC">
            <w:pPr>
              <w:rPr>
                <w:color w:val="000000"/>
              </w:rPr>
            </w:pPr>
          </w:p>
          <w:p w:rsidR="00D6195C" w:rsidRPr="00D43013" w:rsidRDefault="00D6195C" w:rsidP="000E68FC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земельного</w:t>
            </w:r>
          </w:p>
          <w:p w:rsidR="00D6195C" w:rsidRPr="00D43013" w:rsidRDefault="00D6195C" w:rsidP="000E68FC">
            <w:pPr>
              <w:rPr>
                <w:color w:val="000000"/>
              </w:rPr>
            </w:pPr>
          </w:p>
          <w:p w:rsidR="00D6195C" w:rsidRPr="00D43013" w:rsidRDefault="00D6195C" w:rsidP="000E68FC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имущественного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Default="00D6195C" w:rsidP="000E68FC">
            <w:pPr>
              <w:rPr>
                <w:color w:val="000000"/>
              </w:rPr>
            </w:pPr>
          </w:p>
          <w:p w:rsidR="00874D76" w:rsidRDefault="00874D76" w:rsidP="000E68FC">
            <w:pPr>
              <w:rPr>
                <w:color w:val="000000"/>
              </w:rPr>
            </w:pPr>
          </w:p>
          <w:p w:rsidR="00874D76" w:rsidRDefault="00874D76" w:rsidP="000E68FC">
            <w:pPr>
              <w:rPr>
                <w:color w:val="000000"/>
              </w:rPr>
            </w:pPr>
          </w:p>
          <w:p w:rsidR="00874D76" w:rsidRDefault="00874D76" w:rsidP="000E68FC">
            <w:pPr>
              <w:rPr>
                <w:color w:val="000000"/>
              </w:rPr>
            </w:pPr>
          </w:p>
          <w:p w:rsidR="00874D76" w:rsidRDefault="00874D76" w:rsidP="000E68FC">
            <w:pPr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  <w:p w:rsidR="00874D76" w:rsidRDefault="00874D76" w:rsidP="000E68FC">
            <w:pPr>
              <w:rPr>
                <w:color w:val="000000"/>
              </w:rPr>
            </w:pPr>
          </w:p>
          <w:p w:rsidR="00874D76" w:rsidRPr="00D43013" w:rsidRDefault="00874D76" w:rsidP="000E68FC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108,4</w:t>
            </w: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874D76" w:rsidP="00065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874D76" w:rsidP="000650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108,4</w:t>
            </w: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  <w:p w:rsidR="00D6195C" w:rsidRPr="00D43013" w:rsidRDefault="00D6195C" w:rsidP="00065015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  <w:p w:rsidR="00D6195C" w:rsidRPr="00D43013" w:rsidRDefault="00874D76" w:rsidP="000E68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325,</w:t>
            </w:r>
            <w:r w:rsidR="009F6F81">
              <w:rPr>
                <w:color w:val="000000"/>
                <w:sz w:val="22"/>
                <w:szCs w:val="22"/>
              </w:rPr>
              <w:t>2</w:t>
            </w:r>
          </w:p>
          <w:p w:rsidR="00D6195C" w:rsidRPr="00D43013" w:rsidRDefault="00D6195C" w:rsidP="000E68FC">
            <w:pPr>
              <w:jc w:val="right"/>
              <w:rPr>
                <w:color w:val="000000"/>
              </w:rPr>
            </w:pPr>
          </w:p>
          <w:p w:rsidR="00D6195C" w:rsidRPr="00D43013" w:rsidRDefault="00874D76" w:rsidP="000E68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D6195C" w:rsidRPr="00D43013" w:rsidTr="00D6195C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Увеличение доходного потенциала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</w:tr>
      <w:tr w:rsidR="00D6195C" w:rsidRPr="00D43013" w:rsidTr="00D6195C">
        <w:trPr>
          <w:trHeight w:val="9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Утверждение планов мероприятий по увеличению поступлений налоговых и неналоговых  доходов в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Организация работы по увеличению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</w:tr>
      <w:tr w:rsidR="00D6195C" w:rsidRPr="00D43013" w:rsidTr="00D6195C">
        <w:trPr>
          <w:trHeight w:val="16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 xml:space="preserve">Реализация комплекса мер по </w:t>
            </w:r>
            <w:proofErr w:type="gramStart"/>
            <w:r w:rsidRPr="00D43013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D43013">
              <w:rPr>
                <w:color w:val="000000"/>
                <w:sz w:val="22"/>
                <w:szCs w:val="22"/>
              </w:rPr>
              <w:t xml:space="preserve"> полнотой и своевременностью выплаты заработной платы, предотвращению фактов выплаты «теневой» заработной платы, в целях расширения (легализации) налоговой базы по налогу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43013">
              <w:rPr>
                <w:color w:val="000000"/>
                <w:sz w:val="22"/>
                <w:szCs w:val="22"/>
              </w:rPr>
              <w:t>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Увеличение поступлений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693112">
            <w:pPr>
              <w:rPr>
                <w:color w:val="000000"/>
              </w:rPr>
            </w:pPr>
          </w:p>
        </w:tc>
      </w:tr>
      <w:tr w:rsidR="00D6195C" w:rsidRPr="00D43013" w:rsidTr="00D6195C">
        <w:trPr>
          <w:trHeight w:val="1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Реализация мероприятий по повышению роли имущественных налогов в формировании бюджетов Арбатского сельсовета, направленных на увеличение собираемости платежей от использования имущества, в том числе инвентаризация земельных участков, объектов капитального строительства, проведение  работы с населением, направленной на побуждение физических лиц к поставке на учет объектов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693112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 xml:space="preserve">Прирост доходов за счет налоговых и неналоговых платежей за использование имущества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874D7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D4301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ED5DB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ED5DB5">
            <w:pPr>
              <w:jc w:val="right"/>
              <w:rPr>
                <w:color w:val="000000"/>
              </w:rPr>
            </w:pPr>
          </w:p>
        </w:tc>
      </w:tr>
      <w:tr w:rsidR="00D6195C" w:rsidRPr="00D43013" w:rsidTr="00D6195C">
        <w:trPr>
          <w:trHeight w:val="1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Проведение разъяснительной  работы с потенциальными налогоплательщиками о необходимости государственной регистрации имеющихся прав на имущество и земельные участки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Прирост доходов за счет налоговых платежей за использование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</w:tr>
      <w:tr w:rsidR="00D6195C" w:rsidRPr="00D43013" w:rsidTr="00D6195C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Проведение мероприятий по выявлению собственных земельных участков и другого недвижимого имущества и привлечению их к налогообложению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Прирост доходов за счет налоговых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</w:tr>
      <w:tr w:rsidR="00D6195C" w:rsidRPr="00D43013" w:rsidTr="00D6195C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sz w:val="22"/>
                <w:szCs w:val="22"/>
              </w:rPr>
              <w:t>Взаимодействие с Межрайонной ИФНС России № 2 по РХ по полноте и достоверности имеющейся базы данных по налогам, по недоимке по местным налогам.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Организация работы по увеличению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</w:p>
        </w:tc>
      </w:tr>
      <w:tr w:rsidR="00D6195C" w:rsidRPr="00D43013" w:rsidTr="00D6195C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Усилить работу по взысканию неналоговых платежей по арендной плате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Прирост доходов за счет налоговых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jc w:val="right"/>
              <w:rPr>
                <w:color w:val="000000"/>
              </w:rPr>
            </w:pPr>
          </w:p>
        </w:tc>
      </w:tr>
      <w:tr w:rsidR="00D6195C" w:rsidRPr="00D43013" w:rsidTr="00D6195C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936DFF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936DFF">
            <w:r w:rsidRPr="00D43013">
              <w:rPr>
                <w:sz w:val="22"/>
                <w:szCs w:val="22"/>
              </w:rPr>
              <w:t>Увеличение объектов недвижимого имущества организаций, индивидуальных предпринимателей и физических лиц, в отношении которых налоговая база определяется как кадастровая стоимость, ед.</w:t>
            </w:r>
          </w:p>
          <w:p w:rsidR="00D6195C" w:rsidRPr="00D43013" w:rsidRDefault="00D6195C" w:rsidP="00936DFF">
            <w:pPr>
              <w:rPr>
                <w:color w:val="000000"/>
              </w:rPr>
            </w:pPr>
            <w:r w:rsidRPr="00D43013">
              <w:rPr>
                <w:sz w:val="22"/>
                <w:szCs w:val="22"/>
              </w:rPr>
              <w:t>поставлено на кадастровый учет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936DFF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Увеличение имущественного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874D76" w:rsidP="00936DF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874D76" w:rsidP="0006501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874D76" w:rsidP="00936D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874D76" w:rsidP="00936D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D6195C" w:rsidRPr="00D43013" w:rsidTr="00D6195C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Оптимизация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195C" w:rsidRPr="00D43013" w:rsidRDefault="00D6195C" w:rsidP="00B215FA">
            <w:pPr>
              <w:jc w:val="right"/>
              <w:rPr>
                <w:color w:val="000000"/>
              </w:rPr>
            </w:pPr>
          </w:p>
        </w:tc>
      </w:tr>
      <w:tr w:rsidR="00D6195C" w:rsidRPr="00D43013" w:rsidTr="00D6195C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1B7676">
            <w:pPr>
              <w:jc w:val="right"/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1C71B5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Оптимизация лимитов по прочим работам и услугам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7B32FB">
            <w:pPr>
              <w:rPr>
                <w:color w:val="000000"/>
              </w:rPr>
            </w:pPr>
            <w:r w:rsidRPr="00D43013">
              <w:rPr>
                <w:color w:val="000000"/>
                <w:sz w:val="22"/>
                <w:szCs w:val="22"/>
              </w:rPr>
              <w:t>Обеспечение содержания без выделения дополнительных бюджетных ассигнований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7B32F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95C" w:rsidRPr="00D43013" w:rsidRDefault="00D6195C" w:rsidP="0006501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1B7676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195C" w:rsidRPr="00D43013" w:rsidRDefault="00D6195C" w:rsidP="001B7676">
            <w:pPr>
              <w:jc w:val="right"/>
              <w:rPr>
                <w:color w:val="000000"/>
              </w:rPr>
            </w:pPr>
          </w:p>
        </w:tc>
      </w:tr>
    </w:tbl>
    <w:p w:rsidR="003126CE" w:rsidRPr="00A97397" w:rsidRDefault="003126CE" w:rsidP="007157AE">
      <w:pPr>
        <w:rPr>
          <w:sz w:val="22"/>
          <w:szCs w:val="22"/>
        </w:rPr>
      </w:pPr>
    </w:p>
    <w:p w:rsidR="003126CE" w:rsidRDefault="003126CE" w:rsidP="007157AE">
      <w:pPr>
        <w:rPr>
          <w:sz w:val="26"/>
          <w:szCs w:val="26"/>
        </w:rPr>
        <w:sectPr w:rsidR="003126CE" w:rsidSect="00D43013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3126CE" w:rsidRPr="00013B25" w:rsidRDefault="003126CE" w:rsidP="00AE2D60">
      <w:pPr>
        <w:jc w:val="center"/>
        <w:rPr>
          <w:b/>
          <w:sz w:val="26"/>
          <w:szCs w:val="26"/>
        </w:rPr>
      </w:pPr>
      <w:r w:rsidRPr="00013B25">
        <w:rPr>
          <w:b/>
          <w:sz w:val="26"/>
          <w:szCs w:val="26"/>
        </w:rPr>
        <w:lastRenderedPageBreak/>
        <w:t>Пояснительная записка</w:t>
      </w:r>
    </w:p>
    <w:p w:rsidR="003126CE" w:rsidRDefault="003126CE" w:rsidP="00AE2D60">
      <w:pPr>
        <w:jc w:val="center"/>
        <w:rPr>
          <w:sz w:val="26"/>
          <w:szCs w:val="26"/>
        </w:rPr>
      </w:pPr>
      <w:r>
        <w:rPr>
          <w:sz w:val="26"/>
          <w:szCs w:val="26"/>
        </w:rPr>
        <w:t>к плану мероприятий по росту доходов, оптимизации расходов</w:t>
      </w:r>
    </w:p>
    <w:p w:rsidR="003126CE" w:rsidRDefault="003126CE" w:rsidP="00AE2D60">
      <w:pPr>
        <w:jc w:val="center"/>
        <w:rPr>
          <w:sz w:val="26"/>
          <w:szCs w:val="26"/>
        </w:rPr>
      </w:pPr>
    </w:p>
    <w:p w:rsidR="003126CE" w:rsidRDefault="003126CE" w:rsidP="00013B25">
      <w:pPr>
        <w:numPr>
          <w:ilvl w:val="0"/>
          <w:numId w:val="1"/>
        </w:numPr>
        <w:rPr>
          <w:sz w:val="26"/>
          <w:szCs w:val="26"/>
        </w:rPr>
      </w:pPr>
      <w:r w:rsidRPr="00013B25">
        <w:rPr>
          <w:sz w:val="26"/>
          <w:szCs w:val="26"/>
        </w:rPr>
        <w:t>Мероприятия по росту доходов</w:t>
      </w:r>
      <w:r>
        <w:rPr>
          <w:sz w:val="26"/>
          <w:szCs w:val="26"/>
        </w:rPr>
        <w:t>:</w:t>
      </w:r>
    </w:p>
    <w:p w:rsidR="003126CE" w:rsidRDefault="003126CE" w:rsidP="00013B25">
      <w:pPr>
        <w:rPr>
          <w:sz w:val="26"/>
          <w:szCs w:val="26"/>
        </w:rPr>
      </w:pPr>
      <w:r>
        <w:rPr>
          <w:sz w:val="26"/>
          <w:szCs w:val="26"/>
        </w:rPr>
        <w:t>-отмена льгот по имущественному и земельному налогу - поступление</w:t>
      </w:r>
    </w:p>
    <w:p w:rsidR="003126CE" w:rsidRDefault="003126CE" w:rsidP="00013B25">
      <w:pPr>
        <w:rPr>
          <w:sz w:val="26"/>
          <w:szCs w:val="26"/>
        </w:rPr>
      </w:pPr>
      <w:r>
        <w:rPr>
          <w:sz w:val="26"/>
          <w:szCs w:val="26"/>
        </w:rPr>
        <w:t>увеличения уплаты налогов;</w:t>
      </w:r>
    </w:p>
    <w:p w:rsidR="003126CE" w:rsidRDefault="003126CE" w:rsidP="00013B25">
      <w:pPr>
        <w:rPr>
          <w:sz w:val="26"/>
          <w:szCs w:val="26"/>
        </w:rPr>
      </w:pPr>
      <w:r>
        <w:rPr>
          <w:sz w:val="26"/>
          <w:szCs w:val="26"/>
        </w:rPr>
        <w:t>- в 20</w:t>
      </w:r>
      <w:r w:rsidR="00E27C5B">
        <w:rPr>
          <w:sz w:val="26"/>
          <w:szCs w:val="26"/>
        </w:rPr>
        <w:t>19</w:t>
      </w:r>
      <w:r w:rsidR="006D1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приватизировано муниципального жилья - </w:t>
      </w:r>
      <w:r w:rsidR="00E27C5B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квартир, </w:t>
      </w:r>
    </w:p>
    <w:p w:rsidR="003126CE" w:rsidRDefault="003126CE" w:rsidP="00013B25">
      <w:pPr>
        <w:rPr>
          <w:sz w:val="26"/>
          <w:szCs w:val="26"/>
        </w:rPr>
      </w:pPr>
      <w:r>
        <w:rPr>
          <w:sz w:val="26"/>
          <w:szCs w:val="26"/>
        </w:rPr>
        <w:t>В 20</w:t>
      </w:r>
      <w:r w:rsidR="00E27C5B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приватизировано - </w:t>
      </w:r>
      <w:r w:rsidR="00E27C5B">
        <w:rPr>
          <w:sz w:val="26"/>
          <w:szCs w:val="26"/>
        </w:rPr>
        <w:t>0</w:t>
      </w:r>
      <w:r>
        <w:rPr>
          <w:sz w:val="26"/>
          <w:szCs w:val="26"/>
        </w:rPr>
        <w:t xml:space="preserve"> квартиры, </w:t>
      </w:r>
      <w:r w:rsidR="00E27C5B">
        <w:rPr>
          <w:sz w:val="26"/>
          <w:szCs w:val="26"/>
        </w:rPr>
        <w:t>1</w:t>
      </w:r>
      <w:r>
        <w:rPr>
          <w:sz w:val="26"/>
          <w:szCs w:val="26"/>
        </w:rPr>
        <w:t xml:space="preserve"> в стадии оформления приватизации, </w:t>
      </w:r>
    </w:p>
    <w:p w:rsidR="003126CE" w:rsidRDefault="003126CE" w:rsidP="00013B25">
      <w:pPr>
        <w:rPr>
          <w:sz w:val="26"/>
          <w:szCs w:val="26"/>
        </w:rPr>
      </w:pPr>
      <w:r>
        <w:rPr>
          <w:sz w:val="26"/>
          <w:szCs w:val="26"/>
        </w:rPr>
        <w:t>увеличение имущественного налога с физических лиц;</w:t>
      </w:r>
    </w:p>
    <w:p w:rsidR="003126CE" w:rsidRDefault="003126CE" w:rsidP="00013B25">
      <w:pPr>
        <w:rPr>
          <w:sz w:val="26"/>
          <w:szCs w:val="26"/>
        </w:rPr>
      </w:pPr>
      <w:r>
        <w:rPr>
          <w:sz w:val="26"/>
          <w:szCs w:val="26"/>
        </w:rPr>
        <w:t>- в 201</w:t>
      </w:r>
      <w:r w:rsidR="00874D76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выкуплено </w:t>
      </w:r>
      <w:r w:rsidR="00874D76">
        <w:rPr>
          <w:sz w:val="26"/>
          <w:szCs w:val="26"/>
        </w:rPr>
        <w:t>13</w:t>
      </w:r>
      <w:r>
        <w:rPr>
          <w:sz w:val="26"/>
          <w:szCs w:val="26"/>
        </w:rPr>
        <w:t xml:space="preserve"> земельных участков в стадии оформления в собственность - в 20</w:t>
      </w:r>
      <w:r w:rsidR="00874D76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="00874D76" w:rsidRPr="00874D76">
        <w:rPr>
          <w:sz w:val="26"/>
          <w:szCs w:val="26"/>
        </w:rPr>
        <w:t xml:space="preserve"> </w:t>
      </w:r>
      <w:r w:rsidR="00874D76">
        <w:rPr>
          <w:sz w:val="26"/>
          <w:szCs w:val="26"/>
        </w:rPr>
        <w:t xml:space="preserve"> 3 земельных участков в стадии оформления в собственность,</w:t>
      </w:r>
      <w:r>
        <w:rPr>
          <w:sz w:val="26"/>
          <w:szCs w:val="26"/>
        </w:rPr>
        <w:t xml:space="preserve"> увеличение земельного налога;</w:t>
      </w:r>
    </w:p>
    <w:p w:rsidR="00874D76" w:rsidRDefault="003126CE" w:rsidP="00874D76">
      <w:pPr>
        <w:rPr>
          <w:sz w:val="26"/>
          <w:szCs w:val="26"/>
        </w:rPr>
      </w:pPr>
      <w:r>
        <w:rPr>
          <w:sz w:val="26"/>
          <w:szCs w:val="26"/>
        </w:rPr>
        <w:t>- в 201</w:t>
      </w:r>
      <w:r w:rsidR="00874D76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выделено </w:t>
      </w:r>
      <w:r w:rsidR="00874D76">
        <w:rPr>
          <w:sz w:val="26"/>
          <w:szCs w:val="26"/>
        </w:rPr>
        <w:t>7</w:t>
      </w:r>
      <w:r>
        <w:rPr>
          <w:sz w:val="26"/>
          <w:szCs w:val="26"/>
        </w:rPr>
        <w:t xml:space="preserve"> земельных участков в аренду под строительство</w:t>
      </w:r>
      <w:r w:rsidR="00874D76">
        <w:rPr>
          <w:sz w:val="26"/>
          <w:szCs w:val="26"/>
        </w:rPr>
        <w:t>,</w:t>
      </w:r>
      <w:r w:rsidR="00874D76" w:rsidRPr="00874D76">
        <w:rPr>
          <w:sz w:val="26"/>
          <w:szCs w:val="26"/>
        </w:rPr>
        <w:t xml:space="preserve"> </w:t>
      </w:r>
      <w:r w:rsidR="00874D76">
        <w:rPr>
          <w:sz w:val="26"/>
          <w:szCs w:val="26"/>
        </w:rPr>
        <w:t>в 2020году выделено 2 земельных участков в аренду под строительство, увеличение  имущественного и земельного налогов.</w:t>
      </w:r>
    </w:p>
    <w:p w:rsidR="00874D76" w:rsidRDefault="00874D76" w:rsidP="00874D7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126CE" w:rsidRDefault="003126CE" w:rsidP="00013B25">
      <w:pPr>
        <w:rPr>
          <w:sz w:val="26"/>
          <w:szCs w:val="26"/>
        </w:rPr>
      </w:pPr>
    </w:p>
    <w:p w:rsidR="003126CE" w:rsidRDefault="003126CE" w:rsidP="00874D7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126CE" w:rsidRDefault="003126CE" w:rsidP="00013B25">
      <w:pPr>
        <w:rPr>
          <w:sz w:val="26"/>
          <w:szCs w:val="26"/>
        </w:rPr>
      </w:pPr>
    </w:p>
    <w:sectPr w:rsidR="003126CE" w:rsidSect="00AE2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8C8"/>
    <w:multiLevelType w:val="hybridMultilevel"/>
    <w:tmpl w:val="BD26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E7"/>
    <w:rsid w:val="00013B25"/>
    <w:rsid w:val="00040974"/>
    <w:rsid w:val="00044C7A"/>
    <w:rsid w:val="00046387"/>
    <w:rsid w:val="0005270C"/>
    <w:rsid w:val="0005305D"/>
    <w:rsid w:val="000572FA"/>
    <w:rsid w:val="0006162E"/>
    <w:rsid w:val="00065015"/>
    <w:rsid w:val="000C0415"/>
    <w:rsid w:val="000C3DEF"/>
    <w:rsid w:val="000C6A90"/>
    <w:rsid w:val="000E01F6"/>
    <w:rsid w:val="000E68FC"/>
    <w:rsid w:val="000F5680"/>
    <w:rsid w:val="00110A2A"/>
    <w:rsid w:val="001471B3"/>
    <w:rsid w:val="0014753F"/>
    <w:rsid w:val="00160767"/>
    <w:rsid w:val="00164D97"/>
    <w:rsid w:val="00192CEC"/>
    <w:rsid w:val="00193247"/>
    <w:rsid w:val="00197EE5"/>
    <w:rsid w:val="001A43E9"/>
    <w:rsid w:val="001B7676"/>
    <w:rsid w:val="001C71B5"/>
    <w:rsid w:val="001D5E1A"/>
    <w:rsid w:val="001E1C7F"/>
    <w:rsid w:val="00211967"/>
    <w:rsid w:val="00214E52"/>
    <w:rsid w:val="00221ED2"/>
    <w:rsid w:val="00251515"/>
    <w:rsid w:val="00262FE2"/>
    <w:rsid w:val="00270E24"/>
    <w:rsid w:val="00282945"/>
    <w:rsid w:val="002907A0"/>
    <w:rsid w:val="002F7460"/>
    <w:rsid w:val="002F7D33"/>
    <w:rsid w:val="003063B7"/>
    <w:rsid w:val="003126CE"/>
    <w:rsid w:val="00326E02"/>
    <w:rsid w:val="0035095A"/>
    <w:rsid w:val="00353F36"/>
    <w:rsid w:val="0036772A"/>
    <w:rsid w:val="00373640"/>
    <w:rsid w:val="00382918"/>
    <w:rsid w:val="00382A62"/>
    <w:rsid w:val="003B596C"/>
    <w:rsid w:val="003C39A5"/>
    <w:rsid w:val="003C77B1"/>
    <w:rsid w:val="003F6ED0"/>
    <w:rsid w:val="004123D6"/>
    <w:rsid w:val="004123E8"/>
    <w:rsid w:val="00437AAF"/>
    <w:rsid w:val="00442D1C"/>
    <w:rsid w:val="00467F87"/>
    <w:rsid w:val="004A19AE"/>
    <w:rsid w:val="004E670F"/>
    <w:rsid w:val="004E76A4"/>
    <w:rsid w:val="004E7E85"/>
    <w:rsid w:val="0050541C"/>
    <w:rsid w:val="00520495"/>
    <w:rsid w:val="00534662"/>
    <w:rsid w:val="00541690"/>
    <w:rsid w:val="00556B2F"/>
    <w:rsid w:val="005658B4"/>
    <w:rsid w:val="0058297E"/>
    <w:rsid w:val="005A64F0"/>
    <w:rsid w:val="005B03CF"/>
    <w:rsid w:val="005B5765"/>
    <w:rsid w:val="005D1952"/>
    <w:rsid w:val="005D4F9A"/>
    <w:rsid w:val="005E2267"/>
    <w:rsid w:val="005F7D1B"/>
    <w:rsid w:val="00620ED9"/>
    <w:rsid w:val="00623D75"/>
    <w:rsid w:val="0064784C"/>
    <w:rsid w:val="0066257C"/>
    <w:rsid w:val="00665BC1"/>
    <w:rsid w:val="00665D1C"/>
    <w:rsid w:val="00681D5F"/>
    <w:rsid w:val="00693112"/>
    <w:rsid w:val="006B261F"/>
    <w:rsid w:val="006D18CC"/>
    <w:rsid w:val="006E09A7"/>
    <w:rsid w:val="006E7BFC"/>
    <w:rsid w:val="0070042B"/>
    <w:rsid w:val="007157AE"/>
    <w:rsid w:val="00725CE5"/>
    <w:rsid w:val="00726048"/>
    <w:rsid w:val="007271CF"/>
    <w:rsid w:val="0074680D"/>
    <w:rsid w:val="0075129F"/>
    <w:rsid w:val="00755A00"/>
    <w:rsid w:val="007608D5"/>
    <w:rsid w:val="00760D83"/>
    <w:rsid w:val="00761421"/>
    <w:rsid w:val="007625BD"/>
    <w:rsid w:val="00767BB0"/>
    <w:rsid w:val="00797231"/>
    <w:rsid w:val="007A0778"/>
    <w:rsid w:val="007A1680"/>
    <w:rsid w:val="007A266A"/>
    <w:rsid w:val="007A2E8A"/>
    <w:rsid w:val="007B32FB"/>
    <w:rsid w:val="007C7890"/>
    <w:rsid w:val="0080112E"/>
    <w:rsid w:val="008464B6"/>
    <w:rsid w:val="0087240A"/>
    <w:rsid w:val="00874D76"/>
    <w:rsid w:val="008772D1"/>
    <w:rsid w:val="008B02B4"/>
    <w:rsid w:val="008B56AA"/>
    <w:rsid w:val="008C046C"/>
    <w:rsid w:val="008C4EB3"/>
    <w:rsid w:val="008E537F"/>
    <w:rsid w:val="008F06DD"/>
    <w:rsid w:val="00916B1B"/>
    <w:rsid w:val="00936DFF"/>
    <w:rsid w:val="00952FDC"/>
    <w:rsid w:val="00956465"/>
    <w:rsid w:val="0095767B"/>
    <w:rsid w:val="00990C75"/>
    <w:rsid w:val="0099386B"/>
    <w:rsid w:val="009972A3"/>
    <w:rsid w:val="009A7935"/>
    <w:rsid w:val="009D4A0D"/>
    <w:rsid w:val="009E6454"/>
    <w:rsid w:val="009F6F81"/>
    <w:rsid w:val="00A23164"/>
    <w:rsid w:val="00A24811"/>
    <w:rsid w:val="00A63F76"/>
    <w:rsid w:val="00A649C3"/>
    <w:rsid w:val="00A91D49"/>
    <w:rsid w:val="00A97397"/>
    <w:rsid w:val="00AC439B"/>
    <w:rsid w:val="00AE2D60"/>
    <w:rsid w:val="00AE49E5"/>
    <w:rsid w:val="00AE6C58"/>
    <w:rsid w:val="00B1415C"/>
    <w:rsid w:val="00B215FA"/>
    <w:rsid w:val="00B2184E"/>
    <w:rsid w:val="00B435BF"/>
    <w:rsid w:val="00B46B49"/>
    <w:rsid w:val="00B71FEF"/>
    <w:rsid w:val="00B724CB"/>
    <w:rsid w:val="00B8769D"/>
    <w:rsid w:val="00BA30B8"/>
    <w:rsid w:val="00BC5112"/>
    <w:rsid w:val="00BC6D7F"/>
    <w:rsid w:val="00BE7D97"/>
    <w:rsid w:val="00C144C7"/>
    <w:rsid w:val="00C22CC0"/>
    <w:rsid w:val="00C51039"/>
    <w:rsid w:val="00C55915"/>
    <w:rsid w:val="00C91320"/>
    <w:rsid w:val="00C921F1"/>
    <w:rsid w:val="00C92FE7"/>
    <w:rsid w:val="00C939BC"/>
    <w:rsid w:val="00D32051"/>
    <w:rsid w:val="00D41EFF"/>
    <w:rsid w:val="00D427D6"/>
    <w:rsid w:val="00D43013"/>
    <w:rsid w:val="00D6032D"/>
    <w:rsid w:val="00D6195C"/>
    <w:rsid w:val="00DC1C9F"/>
    <w:rsid w:val="00DD01E7"/>
    <w:rsid w:val="00DF0FF5"/>
    <w:rsid w:val="00E02D2C"/>
    <w:rsid w:val="00E27C5B"/>
    <w:rsid w:val="00E30F58"/>
    <w:rsid w:val="00E428DA"/>
    <w:rsid w:val="00E8018F"/>
    <w:rsid w:val="00E826F6"/>
    <w:rsid w:val="00E97203"/>
    <w:rsid w:val="00EA7839"/>
    <w:rsid w:val="00EC6445"/>
    <w:rsid w:val="00ED5DB5"/>
    <w:rsid w:val="00ED7BA4"/>
    <w:rsid w:val="00F05216"/>
    <w:rsid w:val="00F11C0B"/>
    <w:rsid w:val="00F172B4"/>
    <w:rsid w:val="00F2349D"/>
    <w:rsid w:val="00F306D5"/>
    <w:rsid w:val="00F3413C"/>
    <w:rsid w:val="00F5683E"/>
    <w:rsid w:val="00F6173D"/>
    <w:rsid w:val="00F864C1"/>
    <w:rsid w:val="00F96E84"/>
    <w:rsid w:val="00FA2ACA"/>
    <w:rsid w:val="00FA473E"/>
    <w:rsid w:val="00FB76B2"/>
    <w:rsid w:val="00FC1726"/>
    <w:rsid w:val="00FC5B29"/>
    <w:rsid w:val="00FC6C3E"/>
    <w:rsid w:val="00FD522E"/>
    <w:rsid w:val="00FE22AD"/>
    <w:rsid w:val="00FF2472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Основной текст Знак"/>
    <w:link w:val="a6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99"/>
    <w:locked/>
    <w:rsid w:val="001D5E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Основной текст Знак"/>
    <w:link w:val="a6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99"/>
    <w:locked/>
    <w:rsid w:val="001D5E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2020-12-30T07:44:00Z</cp:lastPrinted>
  <dcterms:created xsi:type="dcterms:W3CDTF">2020-12-26T04:29:00Z</dcterms:created>
  <dcterms:modified xsi:type="dcterms:W3CDTF">2020-12-30T07:45:00Z</dcterms:modified>
</cp:coreProperties>
</file>