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1" w:rsidRDefault="00054E61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54E61" w:rsidRDefault="00054E61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54E61" w:rsidRDefault="00054E61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54E61" w:rsidRDefault="00054E61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054E61" w:rsidRDefault="00054E61" w:rsidP="00C91320">
      <w:pPr>
        <w:rPr>
          <w:sz w:val="26"/>
          <w:szCs w:val="26"/>
        </w:rPr>
      </w:pPr>
    </w:p>
    <w:p w:rsidR="00054E61" w:rsidRDefault="00054E61" w:rsidP="00FF50F1">
      <w:pPr>
        <w:jc w:val="center"/>
        <w:rPr>
          <w:sz w:val="26"/>
          <w:szCs w:val="26"/>
        </w:rPr>
      </w:pPr>
    </w:p>
    <w:p w:rsidR="00054E61" w:rsidRDefault="00054E61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54E61" w:rsidRDefault="00054E61" w:rsidP="00FF50F1">
      <w:pPr>
        <w:jc w:val="center"/>
        <w:rPr>
          <w:sz w:val="26"/>
          <w:szCs w:val="26"/>
        </w:rPr>
      </w:pPr>
    </w:p>
    <w:p w:rsidR="00054E61" w:rsidRDefault="00054E61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>11.02.2019г.                                            с. Арбаты                                                   № 20</w:t>
      </w:r>
    </w:p>
    <w:p w:rsidR="00054E61" w:rsidRDefault="00054E61" w:rsidP="00FF50F1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56"/>
        <w:gridCol w:w="5414"/>
      </w:tblGrid>
      <w:tr w:rsidR="00054E61" w:rsidRPr="00623D75" w:rsidTr="00F05216">
        <w:tc>
          <w:tcPr>
            <w:tcW w:w="4248" w:type="dxa"/>
          </w:tcPr>
          <w:p w:rsidR="00054E61" w:rsidRPr="00623D75" w:rsidRDefault="00054E61" w:rsidP="008C4E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плана мероприятий по росту доходов «План мероприятий по росту доходов,  оптимизации расходов бюджета Арбатского сельсовета  на 2016 -2021 годы» </w:t>
            </w:r>
          </w:p>
        </w:tc>
        <w:tc>
          <w:tcPr>
            <w:tcW w:w="5606" w:type="dxa"/>
          </w:tcPr>
          <w:p w:rsidR="00054E61" w:rsidRPr="00623D75" w:rsidRDefault="00054E61" w:rsidP="00F05216">
            <w:pPr>
              <w:rPr>
                <w:sz w:val="26"/>
                <w:szCs w:val="26"/>
              </w:rPr>
            </w:pPr>
          </w:p>
        </w:tc>
      </w:tr>
    </w:tbl>
    <w:p w:rsidR="00054E61" w:rsidRDefault="00054E61" w:rsidP="00FF50F1">
      <w:pPr>
        <w:rPr>
          <w:sz w:val="26"/>
          <w:szCs w:val="26"/>
        </w:rPr>
      </w:pPr>
    </w:p>
    <w:p w:rsidR="00054E61" w:rsidRDefault="00054E61" w:rsidP="00FF50F1">
      <w:pPr>
        <w:rPr>
          <w:sz w:val="26"/>
          <w:szCs w:val="26"/>
        </w:rPr>
      </w:pPr>
    </w:p>
    <w:p w:rsidR="00054E61" w:rsidRDefault="00054E61" w:rsidP="000E68FC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принятия мер по сбалансированности местного бюджета Арбатского сельсовета Таштыпского района Республики Хакасия, руководствуясь, ст. 44</w:t>
      </w:r>
      <w:r w:rsidRPr="00990C75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20.01.2006г., Администрация Арбатского сельсовета постановляет:</w:t>
      </w:r>
    </w:p>
    <w:p w:rsidR="00054E61" w:rsidRDefault="00054E61" w:rsidP="00681D5F">
      <w:pPr>
        <w:ind w:firstLine="567"/>
        <w:jc w:val="both"/>
        <w:rPr>
          <w:sz w:val="26"/>
          <w:szCs w:val="26"/>
        </w:rPr>
      </w:pPr>
      <w:r w:rsidRPr="00044C7A">
        <w:rPr>
          <w:sz w:val="26"/>
          <w:szCs w:val="26"/>
        </w:rPr>
        <w:t xml:space="preserve"> 1.</w:t>
      </w:r>
      <w:r w:rsidRPr="00044C7A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</w:rPr>
        <w:t>План мероприятий по росту доходов,  оптимизации расходов бюджета Арбатского сельсовета  на 2016-2021годы».</w:t>
      </w:r>
    </w:p>
    <w:p w:rsidR="00054E61" w:rsidRDefault="00054E61" w:rsidP="00681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 Отменить постановление от 08.06.2016г. №34 </w:t>
      </w:r>
      <w:r>
        <w:rPr>
          <w:sz w:val="26"/>
          <w:szCs w:val="26"/>
        </w:rPr>
        <w:t>«План мероприятий по росту доходов,  оптимизации расходов бюджета Арбатского сельсовета  на 2016 год и плановый период 2017 и 2018 годов».</w:t>
      </w:r>
    </w:p>
    <w:p w:rsidR="00054E61" w:rsidRDefault="00054E61" w:rsidP="00681D5F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 Администрации Арбатского сельсовета обеспечить выполнение Плана мероприятий в установленные сроки, информацию по исполнению мероприятий Плана представлять ежеквартально в Управление финансов Администрации Таштыпского района</w:t>
      </w:r>
    </w:p>
    <w:p w:rsidR="00054E61" w:rsidRDefault="00054E61" w:rsidP="006E09A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</w:t>
      </w:r>
      <w:r w:rsidRPr="00044C7A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054E61" w:rsidRDefault="00054E61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54E61" w:rsidRPr="00044C7A" w:rsidRDefault="00054E61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54E61" w:rsidRDefault="00054E61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54E61" w:rsidRDefault="00054E61" w:rsidP="00B215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А.С.Лебедев</w:t>
      </w:r>
    </w:p>
    <w:p w:rsidR="00054E61" w:rsidRDefault="00054E61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054E61" w:rsidSect="00B21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4E61" w:rsidRDefault="00054E61" w:rsidP="005F7D1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054E61" w:rsidRDefault="00054E61" w:rsidP="005F7D1B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54E61" w:rsidRDefault="00054E61" w:rsidP="005F7D1B">
      <w:pPr>
        <w:jc w:val="right"/>
        <w:rPr>
          <w:sz w:val="26"/>
          <w:szCs w:val="26"/>
        </w:rPr>
      </w:pPr>
      <w:r>
        <w:rPr>
          <w:sz w:val="26"/>
          <w:szCs w:val="26"/>
        </w:rPr>
        <w:t>Арбатского сельсовета</w:t>
      </w:r>
    </w:p>
    <w:p w:rsidR="00054E61" w:rsidRDefault="00054E61" w:rsidP="005F7D1B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 ______ 2019г. __</w:t>
      </w:r>
    </w:p>
    <w:p w:rsidR="00054E61" w:rsidRDefault="00054E61" w:rsidP="005F7D1B">
      <w:pPr>
        <w:jc w:val="right"/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555"/>
        <w:gridCol w:w="4320"/>
        <w:gridCol w:w="1647"/>
        <w:gridCol w:w="1052"/>
        <w:gridCol w:w="87"/>
        <w:gridCol w:w="1354"/>
        <w:gridCol w:w="1051"/>
        <w:gridCol w:w="849"/>
        <w:gridCol w:w="555"/>
        <w:gridCol w:w="247"/>
        <w:gridCol w:w="818"/>
        <w:gridCol w:w="104"/>
        <w:gridCol w:w="794"/>
        <w:gridCol w:w="8"/>
        <w:gridCol w:w="855"/>
        <w:gridCol w:w="1019"/>
      </w:tblGrid>
      <w:tr w:rsidR="00054E61" w:rsidRPr="00A97397" w:rsidTr="007A6CE3">
        <w:trPr>
          <w:trHeight w:val="330"/>
        </w:trPr>
        <w:tc>
          <w:tcPr>
            <w:tcW w:w="1531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jc w:val="center"/>
              <w:rPr>
                <w:b/>
                <w:bCs/>
                <w:color w:val="000000"/>
              </w:rPr>
            </w:pPr>
            <w:r w:rsidRPr="00A97397">
              <w:rPr>
                <w:b/>
                <w:bCs/>
                <w:color w:val="000000"/>
              </w:rPr>
              <w:t>План мероприятий по росту доходов и оптимизации расходов</w:t>
            </w:r>
          </w:p>
        </w:tc>
      </w:tr>
      <w:tr w:rsidR="00054E61" w:rsidRPr="00A97397" w:rsidTr="007A6CE3">
        <w:trPr>
          <w:trHeight w:val="330"/>
        </w:trPr>
        <w:tc>
          <w:tcPr>
            <w:tcW w:w="1531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jc w:val="center"/>
              <w:rPr>
                <w:b/>
                <w:bCs/>
                <w:color w:val="000000"/>
              </w:rPr>
            </w:pPr>
            <w:r w:rsidRPr="00A97397">
              <w:rPr>
                <w:b/>
                <w:bCs/>
                <w:color w:val="000000"/>
              </w:rPr>
              <w:t>на 2016 год и плановый период 20</w:t>
            </w:r>
            <w:r>
              <w:rPr>
                <w:b/>
                <w:bCs/>
                <w:color w:val="000000"/>
              </w:rPr>
              <w:t>20</w:t>
            </w:r>
            <w:r w:rsidRPr="00A97397">
              <w:rPr>
                <w:b/>
                <w:bCs/>
                <w:color w:val="000000"/>
              </w:rPr>
              <w:t xml:space="preserve"> и 20</w:t>
            </w:r>
            <w:r>
              <w:rPr>
                <w:b/>
                <w:bCs/>
                <w:color w:val="000000"/>
              </w:rPr>
              <w:t>21</w:t>
            </w:r>
            <w:r w:rsidRPr="00A9739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054E61" w:rsidRPr="00A97397" w:rsidTr="007A6CE3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</w:tr>
      <w:tr w:rsidR="00054E61" w:rsidRPr="00A97397" w:rsidTr="007A6CE3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E61" w:rsidRPr="00A97397" w:rsidRDefault="00054E61" w:rsidP="00B215FA">
            <w:pPr>
              <w:rPr>
                <w:color w:val="000000"/>
              </w:rPr>
            </w:pPr>
          </w:p>
        </w:tc>
      </w:tr>
      <w:tr w:rsidR="00054E61" w:rsidRPr="0072531B" w:rsidTr="007A6CE3">
        <w:trPr>
          <w:trHeight w:val="6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Срок исполн.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Ответств. исполнитель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Оценка финансового результата от реализации мероприятия, тыс.рублей</w:t>
            </w:r>
          </w:p>
        </w:tc>
      </w:tr>
      <w:tr w:rsidR="00054E61" w:rsidRPr="0072531B" w:rsidTr="007A6CE3">
        <w:trPr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E61" w:rsidRPr="0072531B" w:rsidRDefault="00054E61" w:rsidP="00B215FA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054E61" w:rsidRPr="0072531B" w:rsidTr="007A6CE3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A97397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D4301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F7192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0E68FC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54E61" w:rsidRPr="0072531B" w:rsidTr="007A6CE3">
        <w:trPr>
          <w:trHeight w:val="420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F719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4E61" w:rsidRPr="0072531B" w:rsidRDefault="00054E61" w:rsidP="00F719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72531B">
                <w:rPr>
                  <w:b/>
                  <w:color w:val="000000"/>
                  <w:sz w:val="20"/>
                  <w:szCs w:val="20"/>
                  <w:lang w:val="en-US"/>
                </w:rPr>
                <w:t>I</w:t>
              </w:r>
              <w:r w:rsidRPr="0072531B">
                <w:rPr>
                  <w:b/>
                  <w:color w:val="000000"/>
                  <w:sz w:val="20"/>
                  <w:szCs w:val="20"/>
                </w:rPr>
                <w:t>.</w:t>
              </w:r>
            </w:smartTag>
            <w:r w:rsidRPr="0072531B">
              <w:rPr>
                <w:b/>
                <w:color w:val="000000"/>
                <w:sz w:val="20"/>
                <w:szCs w:val="20"/>
              </w:rPr>
              <w:t xml:space="preserve"> Мероприятия по росту доходов бюджета Арбатского сельсовета</w:t>
            </w:r>
          </w:p>
          <w:p w:rsidR="00054E61" w:rsidRPr="0072531B" w:rsidRDefault="00054E61" w:rsidP="00F719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526,3</w:t>
            </w:r>
          </w:p>
        </w:tc>
      </w:tr>
      <w:tr w:rsidR="00054E61" w:rsidRPr="0072531B" w:rsidTr="007A6CE3">
        <w:trPr>
          <w:trHeight w:val="3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54E61" w:rsidRPr="0072531B" w:rsidRDefault="00054E61" w:rsidP="00A4085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5E5D78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Оптимизация системы налоговых льгот по местным налогам, пересмотр ставок в результате проведения оценки эффективности предоставляемых льгот, анализа установленных ставок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  <w:r w:rsidRPr="0072531B">
              <w:rPr>
                <w:b/>
                <w:color w:val="000000"/>
                <w:sz w:val="20"/>
                <w:szCs w:val="20"/>
              </w:rPr>
              <w:t>8,8</w:t>
            </w:r>
          </w:p>
        </w:tc>
      </w:tr>
      <w:tr w:rsidR="00054E61" w:rsidRPr="0072531B" w:rsidTr="007A6CE3">
        <w:trPr>
          <w:trHeight w:val="10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0E68FC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5E5D78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Внесение изменений в решение об установлении земельного налога в сельсоветах Таштыпского района, в целях отмены неэффективных льгот,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5E5D78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5E5D78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Ноябрь 2016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5E5D78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5E5D78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643,6</w:t>
            </w:r>
          </w:p>
        </w:tc>
      </w:tr>
      <w:tr w:rsidR="00054E61" w:rsidRPr="0072531B" w:rsidTr="007A6CE3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5E5D78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Внесение изменений в решение об установлении налога на имущество физических лиц в сельсоветах Таштыпского района, в отмены льгот,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Ноябрь 2016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54E61" w:rsidRPr="0072531B" w:rsidTr="007A6CE3">
        <w:trPr>
          <w:trHeight w:val="16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Проведение ОМС Таштыпского района работы по оптимизации налоговых ставок и оценки эффективности налоговых льгот по местным налогам, с последующим установлением максимальных ставок, в пределах установленных НК, и отмененной неэффективных льгот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Соглашение с ОМС  сельсоветов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2021 гг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E61" w:rsidRPr="0072531B" w:rsidTr="007A6CE3">
        <w:trPr>
          <w:trHeight w:val="3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A4085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</w:t>
            </w:r>
          </w:p>
          <w:p w:rsidR="00054E61" w:rsidRPr="0072531B" w:rsidRDefault="00054E61" w:rsidP="0069311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A40853">
            <w:pPr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Увеличение доходного потенциала</w:t>
            </w:r>
          </w:p>
          <w:p w:rsidR="00054E61" w:rsidRPr="0072531B" w:rsidRDefault="00054E61" w:rsidP="0069311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72531B">
              <w:rPr>
                <w:b/>
                <w:color w:val="000000"/>
                <w:sz w:val="20"/>
                <w:szCs w:val="20"/>
              </w:rPr>
              <w:t>7,5</w:t>
            </w:r>
          </w:p>
        </w:tc>
      </w:tr>
      <w:tr w:rsidR="00054E61" w:rsidRPr="0072531B" w:rsidTr="007A6CE3">
        <w:trPr>
          <w:trHeight w:val="8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Усиление работы по взысканию налоговых платежей в бюджет Арбатского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Отчет о работе с недоимкой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2021 гг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54E61" w:rsidRPr="0072531B" w:rsidTr="007A6CE3">
        <w:trPr>
          <w:trHeight w:val="16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Реализация мероприятий по повышению роли имущественных налогов в формировании бюджета Арбатского сельсовета, направленных на увеличение собираемости платежей от использования имущества, в том числе инвентаризация земельных участков, объектов капитального строительства, проведение работы с населением, направленной на побуждение физических лиц к поставке на учет объектов  недвижимого имущества, 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Отчет о реализации мер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531B">
              <w:rPr>
                <w:color w:val="000000"/>
                <w:sz w:val="20"/>
                <w:szCs w:val="20"/>
              </w:rPr>
              <w:t>2021 гг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Pr="0072531B">
              <w:rPr>
                <w:color w:val="000000"/>
                <w:sz w:val="20"/>
                <w:szCs w:val="20"/>
              </w:rPr>
              <w:t>,7</w:t>
            </w:r>
          </w:p>
        </w:tc>
      </w:tr>
      <w:tr w:rsidR="00054E61" w:rsidRPr="0072531B" w:rsidTr="007A6CE3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both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Увеличение объектов недвижимого имущества организаций, индивидуальных предпринимателей и физических лиц, в отношении которых налоговая база определяется как кадастровая стоимость, ед.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Ед. объектов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Ноябрь ежегодно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297D3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054E61" w:rsidRPr="0072531B" w:rsidTr="007A6CE3">
        <w:trPr>
          <w:trHeight w:val="40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A4085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72531B">
              <w:rPr>
                <w:b/>
                <w:color w:val="000000"/>
                <w:sz w:val="20"/>
                <w:szCs w:val="20"/>
              </w:rPr>
              <w:t>. Мероприятия по оптимизации расходов бюджета Арбатского сельсовета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B0D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1B">
              <w:rPr>
                <w:b/>
                <w:color w:val="000000"/>
                <w:sz w:val="20"/>
                <w:szCs w:val="20"/>
              </w:rPr>
              <w:t>15,1</w:t>
            </w:r>
          </w:p>
        </w:tc>
      </w:tr>
      <w:tr w:rsidR="00054E61" w:rsidRPr="0072531B" w:rsidTr="007A6CE3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B32F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B32FB">
            <w:pPr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Оптимизация бюджетной сети, органов управления и расходов на их содержание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B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0650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B32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B32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B32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B32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A6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E61" w:rsidRPr="0072531B" w:rsidTr="007A6CE3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936DFF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936DFF">
            <w:pPr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Сокращение расходов на содержание ОМС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72531B">
            <w:pPr>
              <w:jc w:val="center"/>
              <w:rPr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936D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0650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936D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936D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936D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936D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A6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E61" w:rsidRPr="0072531B" w:rsidTr="007A6CE3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Оптимизация бюджетных расходов на содержание муниципальных учреждений Арбатского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Правовой акт муниципального образования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2017-2021 гг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72531B">
            <w:pPr>
              <w:jc w:val="center"/>
              <w:rPr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297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A6CE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54E61" w:rsidRPr="0072531B" w:rsidTr="007A6CE3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1B7676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1C71B5">
            <w:pPr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 xml:space="preserve">Оптимизация лимитов потребления топливно-энергетических ресурсов муниципальных учреждений, обеспечение энергоэффективности в бюджетном секторе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2017-2021 гг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Default="00054E61" w:rsidP="0072531B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Админист</w:t>
            </w:r>
          </w:p>
          <w:p w:rsidR="00054E61" w:rsidRPr="0072531B" w:rsidRDefault="00054E61" w:rsidP="0072531B">
            <w:pPr>
              <w:jc w:val="center"/>
              <w:rPr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рация Арбатского сельсовета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B3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065015">
            <w:pPr>
              <w:jc w:val="right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1B7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1B7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1B7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E61" w:rsidRPr="0072531B" w:rsidRDefault="00054E61" w:rsidP="001B7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E61" w:rsidRPr="0072531B" w:rsidRDefault="00054E61" w:rsidP="007A6CE3">
            <w:pPr>
              <w:jc w:val="center"/>
              <w:rPr>
                <w:color w:val="000000"/>
                <w:sz w:val="20"/>
                <w:szCs w:val="20"/>
              </w:rPr>
            </w:pPr>
            <w:r w:rsidRPr="0072531B">
              <w:rPr>
                <w:color w:val="000000"/>
                <w:sz w:val="20"/>
                <w:szCs w:val="20"/>
              </w:rPr>
              <w:t>7,1</w:t>
            </w:r>
            <w:bookmarkStart w:id="0" w:name="_GoBack"/>
            <w:bookmarkEnd w:id="0"/>
          </w:p>
        </w:tc>
      </w:tr>
    </w:tbl>
    <w:p w:rsidR="00054E61" w:rsidRDefault="00054E61" w:rsidP="007157AE">
      <w:pPr>
        <w:rPr>
          <w:sz w:val="22"/>
          <w:szCs w:val="22"/>
        </w:rPr>
      </w:pPr>
    </w:p>
    <w:p w:rsidR="00054E61" w:rsidRPr="00A97397" w:rsidRDefault="00054E61" w:rsidP="007157AE">
      <w:pPr>
        <w:rPr>
          <w:sz w:val="22"/>
          <w:szCs w:val="22"/>
        </w:rPr>
      </w:pPr>
    </w:p>
    <w:p w:rsidR="00054E61" w:rsidRDefault="00054E61" w:rsidP="007157AE">
      <w:pPr>
        <w:rPr>
          <w:sz w:val="26"/>
          <w:szCs w:val="26"/>
        </w:rPr>
        <w:sectPr w:rsidR="00054E61" w:rsidSect="00037E34">
          <w:pgSz w:w="16838" w:h="11906" w:orient="landscape"/>
          <w:pgMar w:top="1258" w:right="1134" w:bottom="719" w:left="1134" w:header="709" w:footer="709" w:gutter="0"/>
          <w:cols w:space="708"/>
          <w:docGrid w:linePitch="360"/>
        </w:sectPr>
      </w:pPr>
    </w:p>
    <w:p w:rsidR="00054E61" w:rsidRPr="00013B25" w:rsidRDefault="00054E61" w:rsidP="00AE2D60">
      <w:pPr>
        <w:jc w:val="center"/>
        <w:rPr>
          <w:b/>
          <w:sz w:val="26"/>
          <w:szCs w:val="26"/>
        </w:rPr>
      </w:pPr>
      <w:r w:rsidRPr="00013B25">
        <w:rPr>
          <w:b/>
          <w:sz w:val="26"/>
          <w:szCs w:val="26"/>
        </w:rPr>
        <w:t>Пояснительная записка</w:t>
      </w:r>
    </w:p>
    <w:p w:rsidR="00054E61" w:rsidRDefault="00054E61" w:rsidP="00AE2D60">
      <w:pPr>
        <w:jc w:val="center"/>
        <w:rPr>
          <w:sz w:val="26"/>
          <w:szCs w:val="26"/>
        </w:rPr>
      </w:pPr>
      <w:r>
        <w:rPr>
          <w:sz w:val="26"/>
          <w:szCs w:val="26"/>
        </w:rPr>
        <w:t>к плану мероприятий по росту доходов, оптимизации расходов</w:t>
      </w:r>
    </w:p>
    <w:p w:rsidR="00054E61" w:rsidRDefault="00054E61" w:rsidP="00AE2D60">
      <w:pPr>
        <w:jc w:val="center"/>
        <w:rPr>
          <w:sz w:val="26"/>
          <w:szCs w:val="26"/>
        </w:rPr>
      </w:pPr>
    </w:p>
    <w:p w:rsidR="00054E61" w:rsidRDefault="00054E61" w:rsidP="00013B25">
      <w:pPr>
        <w:numPr>
          <w:ilvl w:val="0"/>
          <w:numId w:val="1"/>
        </w:numPr>
        <w:rPr>
          <w:sz w:val="26"/>
          <w:szCs w:val="26"/>
        </w:rPr>
      </w:pPr>
      <w:r w:rsidRPr="00013B25">
        <w:rPr>
          <w:sz w:val="26"/>
          <w:szCs w:val="26"/>
        </w:rPr>
        <w:t>Мероприятия по росту доходов</w:t>
      </w:r>
      <w:r>
        <w:rPr>
          <w:sz w:val="26"/>
          <w:szCs w:val="26"/>
        </w:rPr>
        <w:t>: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-отмена льгот по имущественному и земельному налогу - поступление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увеличения уплаты налогов;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- в 2016 году приватизировано муниципального жилья - 8 квартир, 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В 2017 году приватизировано - 4 квартиры, 3 в стадии оформления приватизации, 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увеличение имущественного налога с физических лиц;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- в 2016 году выкуплено 24 земельных участков (</w:t>
      </w:r>
      <w:smartTag w:uri="urn:schemas-microsoft-com:office:smarttags" w:element="metricconverter">
        <w:smartTagPr>
          <w:attr w:name="ProductID" w:val="6,15 га"/>
        </w:smartTagPr>
        <w:r>
          <w:rPr>
            <w:sz w:val="26"/>
            <w:szCs w:val="26"/>
          </w:rPr>
          <w:t>6,15 га</w:t>
        </w:r>
      </w:smartTag>
      <w:r>
        <w:rPr>
          <w:sz w:val="26"/>
          <w:szCs w:val="26"/>
        </w:rPr>
        <w:t>),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4 земельных участков в стадии оформления в собственность - в 2017 году увеличение земельного налога;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- в 2016 году выделено 20 земельных участков в аренду под строительство.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 xml:space="preserve">    2. Мероприятия по оптимизации расходов: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-в 2017 году проведен ямочный ремонт дорог на добровольном начале на субботнике</w:t>
      </w:r>
    </w:p>
    <w:p w:rsidR="00054E61" w:rsidRDefault="00054E61" w:rsidP="00013B25">
      <w:pPr>
        <w:rPr>
          <w:sz w:val="26"/>
          <w:szCs w:val="26"/>
        </w:rPr>
      </w:pPr>
      <w:r>
        <w:rPr>
          <w:sz w:val="26"/>
          <w:szCs w:val="26"/>
        </w:rPr>
        <w:t>в сумме 7050,00 рублей</w:t>
      </w:r>
    </w:p>
    <w:p w:rsidR="00054E61" w:rsidRDefault="00054E61" w:rsidP="00013B25">
      <w:pPr>
        <w:rPr>
          <w:sz w:val="26"/>
          <w:szCs w:val="26"/>
        </w:rPr>
      </w:pPr>
    </w:p>
    <w:sectPr w:rsidR="00054E61" w:rsidSect="00AE2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8C8"/>
    <w:multiLevelType w:val="hybridMultilevel"/>
    <w:tmpl w:val="BD26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7"/>
    <w:rsid w:val="00013B25"/>
    <w:rsid w:val="00027D1D"/>
    <w:rsid w:val="00037E34"/>
    <w:rsid w:val="00040974"/>
    <w:rsid w:val="00044C7A"/>
    <w:rsid w:val="0004528A"/>
    <w:rsid w:val="00046387"/>
    <w:rsid w:val="00047E1C"/>
    <w:rsid w:val="0005305D"/>
    <w:rsid w:val="00054E61"/>
    <w:rsid w:val="000572FA"/>
    <w:rsid w:val="0006162E"/>
    <w:rsid w:val="00065015"/>
    <w:rsid w:val="000C0415"/>
    <w:rsid w:val="000C3DEF"/>
    <w:rsid w:val="000C6A90"/>
    <w:rsid w:val="000E01F6"/>
    <w:rsid w:val="000E68FC"/>
    <w:rsid w:val="000F5680"/>
    <w:rsid w:val="00110A2A"/>
    <w:rsid w:val="001471B3"/>
    <w:rsid w:val="0014753F"/>
    <w:rsid w:val="00160767"/>
    <w:rsid w:val="00164D97"/>
    <w:rsid w:val="00192CEC"/>
    <w:rsid w:val="00193247"/>
    <w:rsid w:val="00197EE5"/>
    <w:rsid w:val="001A43E9"/>
    <w:rsid w:val="001B7676"/>
    <w:rsid w:val="001C71B5"/>
    <w:rsid w:val="001D5E1A"/>
    <w:rsid w:val="001E1C7F"/>
    <w:rsid w:val="002042AD"/>
    <w:rsid w:val="00211967"/>
    <w:rsid w:val="00214E52"/>
    <w:rsid w:val="00221ED2"/>
    <w:rsid w:val="00251515"/>
    <w:rsid w:val="00262FE2"/>
    <w:rsid w:val="00270E24"/>
    <w:rsid w:val="00282945"/>
    <w:rsid w:val="002907A0"/>
    <w:rsid w:val="00297D3B"/>
    <w:rsid w:val="002B0DA6"/>
    <w:rsid w:val="002F7460"/>
    <w:rsid w:val="002F7D33"/>
    <w:rsid w:val="003063B7"/>
    <w:rsid w:val="003126CE"/>
    <w:rsid w:val="00326E02"/>
    <w:rsid w:val="0035095A"/>
    <w:rsid w:val="00353F36"/>
    <w:rsid w:val="0036772A"/>
    <w:rsid w:val="00373640"/>
    <w:rsid w:val="00382918"/>
    <w:rsid w:val="00382A62"/>
    <w:rsid w:val="003B596C"/>
    <w:rsid w:val="003C39A5"/>
    <w:rsid w:val="003C77B1"/>
    <w:rsid w:val="003F6ED0"/>
    <w:rsid w:val="00411B6E"/>
    <w:rsid w:val="004123D6"/>
    <w:rsid w:val="004123E8"/>
    <w:rsid w:val="00437AAF"/>
    <w:rsid w:val="00442D1C"/>
    <w:rsid w:val="00467F87"/>
    <w:rsid w:val="004A19AE"/>
    <w:rsid w:val="004E670F"/>
    <w:rsid w:val="004E76A4"/>
    <w:rsid w:val="004E7E85"/>
    <w:rsid w:val="0050541C"/>
    <w:rsid w:val="00520495"/>
    <w:rsid w:val="00534662"/>
    <w:rsid w:val="00541690"/>
    <w:rsid w:val="0054690A"/>
    <w:rsid w:val="005512AF"/>
    <w:rsid w:val="00556B2F"/>
    <w:rsid w:val="005658B4"/>
    <w:rsid w:val="0058297E"/>
    <w:rsid w:val="005A64F0"/>
    <w:rsid w:val="005B03CF"/>
    <w:rsid w:val="005B5765"/>
    <w:rsid w:val="005D1952"/>
    <w:rsid w:val="005D4F9A"/>
    <w:rsid w:val="005E2267"/>
    <w:rsid w:val="005E5D78"/>
    <w:rsid w:val="005F7D1B"/>
    <w:rsid w:val="00604DEF"/>
    <w:rsid w:val="00620ED9"/>
    <w:rsid w:val="00623D75"/>
    <w:rsid w:val="0064784C"/>
    <w:rsid w:val="0066257C"/>
    <w:rsid w:val="00665BC1"/>
    <w:rsid w:val="00665D1C"/>
    <w:rsid w:val="00681D5F"/>
    <w:rsid w:val="00693112"/>
    <w:rsid w:val="006B261F"/>
    <w:rsid w:val="006C144C"/>
    <w:rsid w:val="006E09A7"/>
    <w:rsid w:val="006E7BFC"/>
    <w:rsid w:val="007157AE"/>
    <w:rsid w:val="0072531B"/>
    <w:rsid w:val="00725CE5"/>
    <w:rsid w:val="00726048"/>
    <w:rsid w:val="007271CF"/>
    <w:rsid w:val="0074680D"/>
    <w:rsid w:val="0075129F"/>
    <w:rsid w:val="00755A00"/>
    <w:rsid w:val="007608D5"/>
    <w:rsid w:val="00760D83"/>
    <w:rsid w:val="00761421"/>
    <w:rsid w:val="007625BD"/>
    <w:rsid w:val="00767BB0"/>
    <w:rsid w:val="00797231"/>
    <w:rsid w:val="007A0778"/>
    <w:rsid w:val="007A1680"/>
    <w:rsid w:val="007A266A"/>
    <w:rsid w:val="007A2E8A"/>
    <w:rsid w:val="007A6CE3"/>
    <w:rsid w:val="007B32FB"/>
    <w:rsid w:val="0080112E"/>
    <w:rsid w:val="00844758"/>
    <w:rsid w:val="008464B6"/>
    <w:rsid w:val="0087240A"/>
    <w:rsid w:val="008772D1"/>
    <w:rsid w:val="008B02B4"/>
    <w:rsid w:val="008B56AA"/>
    <w:rsid w:val="008C046C"/>
    <w:rsid w:val="008C4EB3"/>
    <w:rsid w:val="008E537F"/>
    <w:rsid w:val="008F06DD"/>
    <w:rsid w:val="00916B1B"/>
    <w:rsid w:val="00936DFF"/>
    <w:rsid w:val="00952FDC"/>
    <w:rsid w:val="00956465"/>
    <w:rsid w:val="0095767B"/>
    <w:rsid w:val="00990C75"/>
    <w:rsid w:val="0099386B"/>
    <w:rsid w:val="009972A3"/>
    <w:rsid w:val="009A7935"/>
    <w:rsid w:val="009D4A0D"/>
    <w:rsid w:val="009E6454"/>
    <w:rsid w:val="00A23164"/>
    <w:rsid w:val="00A24811"/>
    <w:rsid w:val="00A40853"/>
    <w:rsid w:val="00A63F76"/>
    <w:rsid w:val="00A649C3"/>
    <w:rsid w:val="00A91D49"/>
    <w:rsid w:val="00A97397"/>
    <w:rsid w:val="00AB2AA6"/>
    <w:rsid w:val="00AC439B"/>
    <w:rsid w:val="00AE2D60"/>
    <w:rsid w:val="00AE49E5"/>
    <w:rsid w:val="00AE6C58"/>
    <w:rsid w:val="00B1415C"/>
    <w:rsid w:val="00B215FA"/>
    <w:rsid w:val="00B2184E"/>
    <w:rsid w:val="00B435BF"/>
    <w:rsid w:val="00B46B49"/>
    <w:rsid w:val="00B71FEF"/>
    <w:rsid w:val="00B724CB"/>
    <w:rsid w:val="00B74CDD"/>
    <w:rsid w:val="00B8769D"/>
    <w:rsid w:val="00BA30B8"/>
    <w:rsid w:val="00BC5112"/>
    <w:rsid w:val="00BC6D7F"/>
    <w:rsid w:val="00BE7D97"/>
    <w:rsid w:val="00C144C7"/>
    <w:rsid w:val="00C22CC0"/>
    <w:rsid w:val="00C34AB6"/>
    <w:rsid w:val="00C55915"/>
    <w:rsid w:val="00C91320"/>
    <w:rsid w:val="00C921F1"/>
    <w:rsid w:val="00C92FE7"/>
    <w:rsid w:val="00C939BC"/>
    <w:rsid w:val="00D32051"/>
    <w:rsid w:val="00D41EFF"/>
    <w:rsid w:val="00D427D6"/>
    <w:rsid w:val="00D43013"/>
    <w:rsid w:val="00D522ED"/>
    <w:rsid w:val="00D6032D"/>
    <w:rsid w:val="00DC1C9F"/>
    <w:rsid w:val="00DD01E7"/>
    <w:rsid w:val="00DD39BB"/>
    <w:rsid w:val="00DF0FF5"/>
    <w:rsid w:val="00E30F58"/>
    <w:rsid w:val="00E32715"/>
    <w:rsid w:val="00E428DA"/>
    <w:rsid w:val="00E8018F"/>
    <w:rsid w:val="00E826F6"/>
    <w:rsid w:val="00E93C19"/>
    <w:rsid w:val="00E97203"/>
    <w:rsid w:val="00EA7839"/>
    <w:rsid w:val="00ED5DB5"/>
    <w:rsid w:val="00ED7BA4"/>
    <w:rsid w:val="00F05216"/>
    <w:rsid w:val="00F11C0B"/>
    <w:rsid w:val="00F172B4"/>
    <w:rsid w:val="00F2349D"/>
    <w:rsid w:val="00F306D5"/>
    <w:rsid w:val="00F3413C"/>
    <w:rsid w:val="00F40831"/>
    <w:rsid w:val="00F6173D"/>
    <w:rsid w:val="00F7192C"/>
    <w:rsid w:val="00F864C1"/>
    <w:rsid w:val="00F96E84"/>
    <w:rsid w:val="00FA2ACA"/>
    <w:rsid w:val="00FA473E"/>
    <w:rsid w:val="00FB76B2"/>
    <w:rsid w:val="00FC1726"/>
    <w:rsid w:val="00FC5B29"/>
    <w:rsid w:val="00FC6C3E"/>
    <w:rsid w:val="00FD522E"/>
    <w:rsid w:val="00FE22AD"/>
    <w:rsid w:val="00FF2472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5E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4</Pages>
  <Words>820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2019-02-04T07:37:00Z</cp:lastPrinted>
  <dcterms:created xsi:type="dcterms:W3CDTF">2017-06-05T01:51:00Z</dcterms:created>
  <dcterms:modified xsi:type="dcterms:W3CDTF">2019-02-18T00:54:00Z</dcterms:modified>
</cp:coreProperties>
</file>